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E6" w:rsidRPr="00947A5E" w:rsidRDefault="007401E6" w:rsidP="007401E6">
      <w:pPr>
        <w:pStyle w:val="Standard"/>
        <w:ind w:left="72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>
        <w:rPr>
          <w:rFonts w:asciiTheme="majorHAnsi" w:hAnsiTheme="majorHAnsi" w:cs="Times New Roman"/>
          <w:color w:val="000000"/>
          <w:sz w:val="20"/>
          <w:szCs w:val="20"/>
        </w:rPr>
        <w:t>Załącznik nr 4 – wzór</w:t>
      </w:r>
    </w:p>
    <w:p w:rsidR="007401E6" w:rsidRPr="00947A5E" w:rsidRDefault="007401E6" w:rsidP="007401E6">
      <w:pPr>
        <w:pStyle w:val="Standard"/>
        <w:ind w:left="720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-wzór</w:t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 - 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Umowa Nr ……………………..</w:t>
      </w:r>
      <w:r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br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na zakup i dostawę </w:t>
      </w:r>
      <w:r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sprzętu i </w:t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wyposażenia</w:t>
      </w:r>
      <w:r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br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 </w:t>
      </w:r>
      <w:r w:rsidRPr="009F7FE8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w ramach programu </w:t>
      </w:r>
      <w:r>
        <w:rPr>
          <w:rFonts w:asciiTheme="majorHAnsi" w:hAnsiTheme="majorHAnsi" w:cs="Times New Roman"/>
          <w:b/>
          <w:color w:val="000000"/>
          <w:sz w:val="20"/>
          <w:szCs w:val="20"/>
        </w:rPr>
        <w:t>„</w:t>
      </w:r>
      <w:r w:rsidRPr="009F7FE8">
        <w:rPr>
          <w:rFonts w:asciiTheme="majorHAnsi" w:hAnsiTheme="majorHAnsi" w:cs="Times New Roman"/>
          <w:b/>
          <w:color w:val="000000"/>
          <w:sz w:val="20"/>
          <w:szCs w:val="20"/>
        </w:rPr>
        <w:t>Laboratoria Przyszłości</w:t>
      </w:r>
      <w:r>
        <w:rPr>
          <w:rFonts w:asciiTheme="majorHAnsi" w:hAnsiTheme="majorHAnsi" w:cs="Times New Roman"/>
          <w:b/>
          <w:color w:val="000000"/>
          <w:sz w:val="20"/>
          <w:szCs w:val="20"/>
        </w:rPr>
        <w:t>”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zawarta w dniu …………………..….….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pomiędzy:</w:t>
      </w:r>
    </w:p>
    <w:p w:rsidR="007401E6" w:rsidRPr="005F3ACA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eastAsia="ar-SA" w:bidi="ar-SA"/>
        </w:rPr>
      </w:pPr>
      <w:r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eastAsia="ar-SA" w:bidi="ar-SA"/>
        </w:rPr>
        <w:t xml:space="preserve">Gminą Brójce, Brójce 39, 95-006 Brójce </w:t>
      </w:r>
      <w:r w:rsidRPr="00EF0686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eastAsia="ar-SA" w:bidi="ar-SA"/>
        </w:rPr>
        <w:t>reprezentowanym przez Panią Justynę Drzazgę – dyrektora</w:t>
      </w:r>
      <w:r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eastAsia="ar-SA" w:bidi="ar-SA"/>
        </w:rPr>
        <w:t xml:space="preserve"> </w:t>
      </w:r>
      <w:r w:rsidRPr="005F3ACA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eastAsia="ar-SA" w:bidi="ar-SA"/>
        </w:rPr>
        <w:t>Szkoły Podstawowej  im. Orła Białego w Kurowicach przy kontrasygnacie Pani Ewy Klepacz – głównego księgowego</w:t>
      </w:r>
    </w:p>
    <w:p w:rsidR="007401E6" w:rsidRPr="00EF0686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eastAsia="ar-SA" w:bidi="ar-SA"/>
        </w:rPr>
        <w:t>zwanym dalej „Zamawiającym”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a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………………………………………………….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zwanym dalej „Wykonawcą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”, 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którą reprezentuje</w:t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: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Niniejsza umowa została zawarta w wyniku przeprowadzenia zapytania ofertowego z wyłączeniem stosowania przepisów ustawy z dnia 11 września 2019 r. Prawo zamówień publicznych (Dz. U. z 2019 r. poz. 2019 ze zm. - dalej jako Pzp) w związku z tym, że wartość zamówienia jest mniejsza niż 130.000 PLN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 1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Przedmiot umowy</w:t>
      </w:r>
    </w:p>
    <w:p w:rsidR="007401E6" w:rsidRPr="00947A5E" w:rsidRDefault="007401E6" w:rsidP="007401E6">
      <w:pPr>
        <w:widowControl/>
        <w:numPr>
          <w:ilvl w:val="0"/>
          <w:numId w:val="2"/>
        </w:numPr>
        <w:autoSpaceDN/>
        <w:ind w:left="284" w:hanging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 xml:space="preserve">Przedmiotem umowy jest </w:t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 xml:space="preserve">zakup i dostarczenie wyposażenia w ramach programu Laboratoria Przyszłości do Szkoły Podstawowej im. Ora Białego w Kurowicach szczegółowo opisanego w Opisie przedmiotu zamówienia. </w:t>
      </w: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 xml:space="preserve">Specyfikacja techniczna oraz opis parametrów techniczno-eksploatacyjnych znajduje się w Opisie przedmiotu zamówienia oraz Ofercie wykonawcy, stanowiących odpowiednio załączniki  nr 1 oraz  2 do umowy. </w:t>
      </w:r>
    </w:p>
    <w:p w:rsidR="007401E6" w:rsidRPr="00947A5E" w:rsidRDefault="007401E6" w:rsidP="007401E6">
      <w:pPr>
        <w:widowControl/>
        <w:numPr>
          <w:ilvl w:val="0"/>
          <w:numId w:val="2"/>
        </w:numPr>
        <w:autoSpaceDN/>
        <w:ind w:left="284" w:hanging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 xml:space="preserve">Przedmiot umowy obejmuje: </w:t>
      </w:r>
    </w:p>
    <w:p w:rsidR="007401E6" w:rsidRDefault="007401E6" w:rsidP="007401E6">
      <w:pPr>
        <w:widowControl/>
        <w:autoSpaceDN/>
        <w:ind w:left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Część I</w:t>
      </w:r>
      <w:r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-WR</w:t>
      </w: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/ Część II</w:t>
      </w:r>
      <w:r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-WR</w:t>
      </w:r>
      <w:r>
        <w:rPr>
          <w:rFonts w:asciiTheme="majorHAnsi" w:eastAsia="Calibri" w:hAnsiTheme="majorHAns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>*</w:t>
      </w: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 </w:t>
      </w: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 xml:space="preserve"> Zapytania ofertowego </w:t>
      </w:r>
    </w:p>
    <w:p w:rsidR="007401E6" w:rsidRPr="00947A5E" w:rsidRDefault="007401E6" w:rsidP="007401E6">
      <w:pPr>
        <w:widowControl/>
        <w:autoSpaceDN/>
        <w:ind w:left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</w:p>
    <w:p w:rsidR="007401E6" w:rsidRPr="00947A5E" w:rsidRDefault="007401E6" w:rsidP="007401E6">
      <w:pPr>
        <w:rPr>
          <w:rFonts w:asciiTheme="majorHAnsi" w:hAnsiTheme="majorHAnsi"/>
          <w:b/>
          <w:bCs/>
          <w:sz w:val="20"/>
          <w:szCs w:val="20"/>
          <w:vertAlign w:val="subscript"/>
        </w:rPr>
      </w:pPr>
      <w:r w:rsidRPr="00947A5E">
        <w:rPr>
          <w:rFonts w:asciiTheme="majorHAnsi" w:hAnsiTheme="majorHAnsi"/>
          <w:b/>
          <w:bCs/>
          <w:sz w:val="20"/>
          <w:szCs w:val="20"/>
          <w:vertAlign w:val="subscript"/>
        </w:rPr>
        <w:t>* niepotrzebne skreślić</w:t>
      </w:r>
    </w:p>
    <w:p w:rsidR="007401E6" w:rsidRDefault="007401E6" w:rsidP="007401E6"/>
    <w:p w:rsidR="007401E6" w:rsidRDefault="007401E6" w:rsidP="007401E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55"/>
        <w:gridCol w:w="7009"/>
        <w:gridCol w:w="992"/>
      </w:tblGrid>
      <w:tr w:rsidR="007401E6" w:rsidRPr="00947A5E" w:rsidTr="00243317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1E6" w:rsidRPr="00E5359C" w:rsidRDefault="007401E6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Część I-WR</w:t>
            </w:r>
          </w:p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1E6" w:rsidRPr="00947A5E" w:rsidTr="002433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L. p.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Nazwa sprzętu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Opis / dane techniczne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Ilość </w:t>
            </w:r>
          </w:p>
        </w:tc>
      </w:tr>
      <w:tr w:rsidR="007401E6" w:rsidRPr="00947A5E" w:rsidTr="002433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Tablica ścieralna.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suchościeralna, biała o powierzchni </w:t>
            </w:r>
            <w:r w:rsidRPr="00FC11C0">
              <w:rPr>
                <w:rStyle w:val="Pogrubienie"/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ceramicznej</w:t>
            </w:r>
            <w:r w:rsidRPr="00FC11C0">
              <w:rPr>
                <w:rFonts w:asciiTheme="majorHAnsi" w:hAnsiTheme="majorHAnsi" w:cs="Open Sans"/>
                <w:b/>
                <w:bCs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,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 xml:space="preserve"> magnetycznej.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br/>
              <w:t xml:space="preserve">Wymiar 170 x 100 cm. 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Powłoka ceramiczna o grubości min. 40 mikronów, 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  <w:t>utwardzana w piecu hutniczym w temp. powyżej 800 °C.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Tył tablicy wzmocniony blachą ocynkowaną. Wyposażona jest w półkę na przybory.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Możliwość zawieszenia tablicy zarówno w pionie, jak i w poziomie. Elementy mocujące w zestawie. 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Gwarancja: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2 lata gwarancji na produkt, (20 lat gwarancji na powierzchnie lakierowaną – gwarancja producenta).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Arial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posiada certyfikat dopuszczający do użytkowania w placówkach oświatowych.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947A5E" w:rsidTr="002433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E6" w:rsidRPr="00947A5E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Tablica ścieralna.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suchościeralna, biała o powierzchni </w:t>
            </w:r>
            <w:r w:rsidRPr="00FC11C0">
              <w:rPr>
                <w:rStyle w:val="Pogrubienie"/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ceramicznej</w:t>
            </w:r>
            <w:r w:rsidRPr="00FC11C0">
              <w:rPr>
                <w:rFonts w:asciiTheme="majorHAnsi" w:hAnsiTheme="majorHAnsi" w:cs="Open Sans"/>
                <w:b/>
                <w:bCs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,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 xml:space="preserve"> magnetycznej.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br/>
              <w:t xml:space="preserve">Wymiar 85 x 100 cm. 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Powłoka ceramiczna o grubości min. 40 mikronów, 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  <w:t>utwardzana w piecu hutniczym w temp. powyżej 800 °C.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Tył tablicy wzmocniony blachą ocynkowaną. Wyposażona jest w półkę na przybory.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Możliwość zawieszenia tablicy zarówno w pionie, jak i w poziomie. Elementy mocujące w zestawie. 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Gwarancja: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24 miesiące gwarancji na produkt, (20 lat gwarancji na powierzchnie lakierowaną – gwarancja producenta).</w:t>
            </w:r>
          </w:p>
          <w:p w:rsidR="007401E6" w:rsidRPr="00FC11C0" w:rsidRDefault="007401E6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Arial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posiada certyfikat dopuszczający do użytkowania w placówkach oświatowych.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</w:tbl>
    <w:p w:rsidR="007401E6" w:rsidRDefault="007401E6" w:rsidP="007401E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94"/>
        <w:gridCol w:w="6564"/>
        <w:gridCol w:w="992"/>
      </w:tblGrid>
      <w:tr w:rsidR="007401E6" w:rsidRPr="00FC11C0" w:rsidTr="00243317">
        <w:tc>
          <w:tcPr>
            <w:tcW w:w="9918" w:type="dxa"/>
            <w:gridSpan w:val="4"/>
            <w:shd w:val="clear" w:color="auto" w:fill="BFBFBF" w:themeFill="background1" w:themeFillShade="BF"/>
          </w:tcPr>
          <w:p w:rsidR="007401E6" w:rsidRDefault="007401E6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401E6" w:rsidRDefault="007401E6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CZĘŚĆ II-WR</w:t>
            </w:r>
          </w:p>
          <w:p w:rsidR="007401E6" w:rsidRPr="00E5359C" w:rsidRDefault="007401E6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Mikrokontroler z czujnikami i akcesoriami.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Zestaw edukacyjny z mikrokontrolerami: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Skład zestawu: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płytki stykowe prototypowe,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przewodów do płytki prototypowej męsko-męskie,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przewodów żeńsko-męskich,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wyświetlacz LCD,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matryca LED 8 x 8,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wyświetlacz LED,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pilot zdalnego sterowania IR,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odbiornik podczerwieni (IR),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temperatury,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Joystick,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poziomu cieczy - analogowy,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buzzer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przyciski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tactswitch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z odpowiednią liczbą zdejmowanych nakładek,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diody LED w różnych kolorach,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potencjometry,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czujnika wilgotności,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rejestr przesuwny,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diody LED RGB,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czytnik RFID, karta RFID, brelok RFID,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klawiatura matrycowa,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zegara czasu rzeczywistego,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z przekaźnikiem,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fotorezystor,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silniki z odpowiednimi sterownikami,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dźwięku,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mikrofon,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serwa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drgań wibracji,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baterie,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klipsy na baterie,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rezystorów,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konwertery analogowo-cyfrowe,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głośnik,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wzmacniacze,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lastRenderedPageBreak/>
              <w:t xml:space="preserve">- włącznik,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kondensatory.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Stacja lutownicza z gorącym powietrzem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Sta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cja lutownicza z funkcją płynnej regulacji przepływu powietrza i </w:t>
            </w: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LEDowym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wyświetlaczem.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Wyposażona w ESD -zabezpieczenie przed zbieraniem się ładunku elektrostatycznego. Parametry minimalne: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- Moc: 60W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- Zakres temperatur: 200-480°C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- Przepływ powietrza 120 l/min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Aparat fotograficzny z akcesoriami.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Parametry minimalne: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Przetwornik obrazu CMOS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Exmor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R™ typu 1,0” (13,2 x 8,8 mm)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Liczba pikseli (efektywnie): 20,1 megapiksela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Typ obiektywu: Obiektyw ZEISS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Vario-Sonnar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® T*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Zoom optyczny: 2,9x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Czułość ISO (fotografia) (zalecany wskaźnik ekspozycji): ISO 125–25 600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Procesor BIONZ X: doskonałe szczegóły i mniejsze szumy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Wbudowany wizjer elektroniczny OLED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Tru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-Finder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Odchylany o 180° ekran LCD do wykonywania autoportretów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wbudowana lampa błyskowa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interfejs: USB, wskazane Wi-Fi, Bluetooth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stabilizacja optyczna obiektywu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Gwarancja: min. 24 miesiące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Statyw z akcesoriami.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Parametry minimalne: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Zastosowanie Foto, Video 3D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Pasmo: ¼” (6.4 mm)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Dodatkowa funkcja: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Levelingdevice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Głowica statywu: 3D: 3-Way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Head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Maksymalne obciążenie: 500 g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Materiał: Aluminium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Noga statywu: 4-częściowy (3x rozciągany)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Gumowe stopki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Regulowana wysokość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Gwarancja 2 lata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Oświetlenie 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Zestaw lamp światła ciągłego do realizacji nagrań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w skład którego wchodzi oprawa oświetleniowa światła stałego żarówka fotograficzna oraz statyw studyjny.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Specyfikacja: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Wymiary czaszy: min. 40x40cm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Mocowanie żarówki: gwint E27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Żarówka: min. 65W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Temperatura barwowa:5500K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Statyw przeznaczony do pracy z małymi i średnimi lampami oraz zestawami oświetleniowymi.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-Wysokość robocza: max. 230cm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Głowica: ruchoma, pozwala na zmianę kąta świecenia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Odbłyśnik: Wewnętrzny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Mikrofon kierunkowy z akcesoriami.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Kompaktowy kierunkowy mikrofon pojemnościowy, który zapewnia doskonałe nagrania dźwiękowe do wideo. Zintegrowany uchwyt tłumika pomaga uniknąć hałasu przenoszonego mechanicznie. Dołączone kable z dwoma wyjściami TRS i TRRS umożliwiają nagrywanie dźwięku zarówno za pomocą lustrzanek cyfrowych, jak i smartfonów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Mikroport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z akcesoriami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pStyle w:val="NormalnyWeb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System mikrofonów bezprzewodowych do lustrzanek cyfrowych, kamer </w:t>
            </w: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bezlusterkowych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 kamer wideo lub urządzeń mobilnych, który zapewnia szczegółowy, nadający się do emisji dźwięk.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Zaczep do paska na odbiorniku służący jako uchwyt na stopkę aparatu do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łatwego mocowania, dołączone dwa kable wyjściowe: TRS do kamer i TRRS do smartfonów lub tabletów. Nadajnik można przymocować do koszuli i odzieży.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Do użytkowania nie jest wymagana wiedza techniczna na temat technologii audio. Działa w wolnym od zakłóceń paśmie 2,4 GHz i automatycznie przeskakuje do wolnych kanałów, aby uniknąć zakłóceń statycznych i awarii dźwięku.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Specyfikacja: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transmisja cyfrowa: 2.4 GHz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pasmo przenoszenia: 50Hz – 18 KHz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modulacja: GFSK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zakres pracy: 50 metrów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- wyjście audio: mini Jack 3,5 mm TRS 1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poziom wyjściowy audio: –60 </w:t>
            </w: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dBV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wymagania dotyczące zasilania: wbudowany akumulator </w:t>
            </w: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litowo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-jonowy lub USB-C DC 5V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żywotność baterii: od 6 do 7h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Antena: PIFA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stosunek sygnału do szumu (SNR): &gt; 78dB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- czułość mikrofonów w nadajniku: mikrofon wbudowany: -42dB, mikrofon krawatowy: -30dB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Gimbal</w:t>
            </w:r>
            <w:proofErr w:type="spellEnd"/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Kompaktowy stabilizator dla aparatów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bezlusterkowych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i DSLR cechuje się składaną konstrukcją i intuicyjnym funkcjami, dając nowe możliwości twórcom wszelkiej treści video. Składana konstrukcja urządzenia nie tylko ułatwia jego transport i przechowywanie, ale też zapewnia rozszerzone możliwości nagrywania. Tryb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SuperSmooth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wyrównuje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mikrodrgania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i zwiększa moment obrotowy, stabilizując nawet 100 mm obiektywy zmiennoogniskowe. Przednie pokrętło gwarantuje precyzyjne ustawienie ostrości niezależnie od sytuacji. Dwuwarstwowa płyta montażowa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Manfrotto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+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Arca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jest kompatybilna ze sprzętem popularnych marek. Przełącz się na tryb portretowy za pomocą jednego dotknięcia, aby zdobyć profesjonalny materiał do swoich treści w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social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mediach. Wbudowany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ActiveTrack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3.0 sprawia, że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gimbal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wykorzystuje sygnał źródłowy z kamery, aby śledzić nagrywany obiekt. </w:t>
            </w:r>
          </w:p>
          <w:p w:rsidR="007401E6" w:rsidRPr="00FC11C0" w:rsidRDefault="007401E6" w:rsidP="00243317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Akcesoria zawarte w zestawie: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Gimbal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Statyw plastikowy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Płytka montażowa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Podpora obiektywu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Podwyższenie aparatu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Kabel zasilający USB-C (40cm)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Kabel MCC: USB-C, Sony Multi, Micro-USB, Mini-USB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Zapinany pasek x 2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Śruba montażowa D-Ring 1/4” x2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Śruba 1/4”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 Przetestowany udźwig: 3,0 kg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Maksymalna prędkość kątowa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gimbala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przy sterowaniu ręcznym: Oś Pan: 360°/s, Oś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Tilt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: 360°/s, Oś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Roll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: 360°/s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Punkty końcowe: Oś obrotu Pan: 360° pełen zakres, Oś obrotu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Roll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: -240° do +95°, Oś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Tilt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: -112° do +214°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Częstotliwość pracy: 2.4000-2.4835 GHz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Moc nadajnika: &lt; 8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dBm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Temperatura pracy: -20° do 45° 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Mocowania akcesoriów: mocowanie w standardzie NATO, otwór mocujący M4, otwór na śrubę 1/4”-20, zimna stopka, port transmisji obrazu/ silnika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lastRenderedPageBreak/>
              <w:t>follow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pgNum/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ocus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(USB-C), port RSS (USB-C), port silnika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follow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pgNum/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ocus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(USB-C)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Akumulator: model: RB2-3400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mAh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-7.2 V, rodzaj ogniw: 18650 2S, pojemność: 3400mAh, energia: 24.48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Wh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, maksymalny czas pracy: 14 godzin, czas ładowania: ok. 2 godziny przy użyciu szybkiej ładowarki 18W(protokoły PD i QC 2.0), zalecana temperatura ładowania: 5° do 40° 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Połączenie: Bluetooth 5.0; USB-C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Wspierane mobilne systemy operacyjne: iOS 11 lub wyższy; Android 7.0 lub wyższy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Wymiary: złożony: 26 × 21 × 7,5 cm (z uchwytem), rozłożony: 40 × 18,5 × 17,5 cm (z uchwytem, bez rozszerzonego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gripa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/ statywu)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Plansza z akcesoriami 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Plansza edukacyjna z akcesoriami dydaktycznymi do nauki programowania </w:t>
            </w:r>
            <w:proofErr w:type="spellStart"/>
            <w:r w:rsidRPr="00FC11C0">
              <w:rPr>
                <w:rFonts w:asciiTheme="majorHAnsi" w:hAnsiTheme="majorHAnsi"/>
                <w:sz w:val="20"/>
                <w:szCs w:val="20"/>
              </w:rPr>
              <w:t>Scottie</w:t>
            </w:r>
            <w:proofErr w:type="spellEnd"/>
            <w:r w:rsidRPr="00FC11C0">
              <w:rPr>
                <w:rFonts w:asciiTheme="majorHAnsi" w:hAnsiTheme="majorHAnsi"/>
                <w:sz w:val="20"/>
                <w:szCs w:val="20"/>
              </w:rPr>
              <w:t xml:space="preserve"> Go! </w:t>
            </w: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Oprogramowanie edukacyjne, scenariusze lekcji dla uczniów w wieku 6-9/9-12/12-15 lat, rozbudowany program pracy z grą, plany pracy z celami, Przewodnik Nauczyciela z rozwiązaniami zadań.</w:t>
            </w: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179 kartonowych bloczków, bezterminowy Kod licencyjny do aplikacji na 3 urządzenia, </w:t>
            </w:r>
            <w:proofErr w:type="spellStart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organizer</w:t>
            </w:r>
            <w:proofErr w:type="spellEnd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, plansza dydaktyczna do układania bloczków, instrukcja w języku polskim.</w:t>
            </w: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Skład zestawu:</w:t>
            </w: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• </w:t>
            </w:r>
            <w:proofErr w:type="spellStart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Scottie</w:t>
            </w:r>
            <w:proofErr w:type="spellEnd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Go! EDU x 10 pudełek</w:t>
            </w: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• </w:t>
            </w:r>
            <w:proofErr w:type="spellStart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Scottie</w:t>
            </w:r>
            <w:proofErr w:type="spellEnd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Go! </w:t>
            </w:r>
            <w:proofErr w:type="spellStart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Dojo</w:t>
            </w:r>
            <w:proofErr w:type="spellEnd"/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z licencją na 3 lata dla 30 uczniów oraz nauczyciela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Klocki do samodzielnej konstrukcji z akcesoriami</w:t>
            </w:r>
          </w:p>
        </w:tc>
        <w:tc>
          <w:tcPr>
            <w:tcW w:w="6564" w:type="dxa"/>
          </w:tcPr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konstrukcyjne kreatywne rzepki czepki 1000el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konstrukcyjne klocki mag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netyczne edukacyjne wafle 88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elem</w:t>
            </w:r>
            <w:proofErr w:type="spellEnd"/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Patyczki konstrukcyjne 744 elementy z łącznikami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klasyczne 3d - 233 elementy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kolorowe kreatywne klocki 4d - 170 elementów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ocki drewniane klasyczne 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elem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duże wafle kolorowe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182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elem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konstrukcyjne wafle jeżyki 100el</w:t>
            </w:r>
          </w:p>
          <w:p w:rsidR="007401E6" w:rsidRPr="006946AC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kocki konstrukcyjne kreatywne rzepki 1500el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sprytne klocki konstrukcyjne duże 119 el</w:t>
            </w:r>
          </w:p>
        </w:tc>
        <w:tc>
          <w:tcPr>
            <w:tcW w:w="992" w:type="dxa"/>
          </w:tcPr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Szafka zamykana.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Szafka wykonana z płyty laminowanej o grubości min. 18 mm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Wyposażona w półkę.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Drzwi zamykane na zamek.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Kolor: Klon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Wymiary: 82 cm x 61,8 cm x 82,2 cm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Maksymalne dopuszczalne obciążenie: min. 40 kg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1894" w:type="dxa"/>
          </w:tcPr>
          <w:p w:rsidR="007401E6" w:rsidRPr="00A64AFD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Szafka zamykana.</w:t>
            </w:r>
          </w:p>
        </w:tc>
        <w:tc>
          <w:tcPr>
            <w:tcW w:w="6564" w:type="dxa"/>
          </w:tcPr>
          <w:p w:rsidR="007401E6" w:rsidRPr="00A64AFD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Szafka wykonana z płyty laminowanej o grubości min. 18 mm.</w:t>
            </w:r>
          </w:p>
          <w:p w:rsidR="007401E6" w:rsidRPr="00A64AFD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Kolor: brzoza</w:t>
            </w:r>
          </w:p>
          <w:p w:rsidR="007401E6" w:rsidRPr="00A64AFD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Wymiary: 46,7 cm x 31,5 cm x 84 cm</w:t>
            </w:r>
          </w:p>
          <w:p w:rsidR="007401E6" w:rsidRPr="00A64AFD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 xml:space="preserve">Podzielona na 10 półek z możliwością wstawienia plastikowych pudełek 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Żelazko.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Żelazko parowe ze stopą ceramiczną, funkcją regulowania pary i temperatury, z możliwością prasowania w pionie.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Funkcje: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system zapobiegan</w:t>
            </w:r>
            <w:r w:rsidRPr="00FC11C0">
              <w:rPr>
                <w:rFonts w:asciiTheme="majorHAnsi" w:hAnsiTheme="majorHAnsi"/>
                <w:sz w:val="20"/>
                <w:szCs w:val="20"/>
              </w:rPr>
              <w:t>ia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kapaniu podczas prasowania w niskich temperaturach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samooczyszczanie z osadu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system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antywapienny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uderzenie pary min. 180 g/min.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ciągły wyrzut pary 0-50 g/min.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lampka kontrolna temperatury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lampka podłączenia do sieci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spryskiwacz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zbiornik na wodę o pojemności min. 400 ml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obrotowy przewód sieciowy o długości min. 2,5 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regulacja mocy pary, regulacja temperatury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lastRenderedPageBreak/>
              <w:t>Parametry: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• zasilanie: 220-240 V 50/60 </w:t>
            </w:r>
            <w:proofErr w:type="spellStart"/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moc: 2400-2800 W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Deska do prasowania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Deska z regulacją wysokości,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Nogi z rur stalowych z nakładkami antypoślizgowymi. 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Bawełniane obicie z wypełnieniem z gąbki.</w:t>
            </w:r>
          </w:p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Wymiary: min. 30 cm x 100 cm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Wysokość: min. 78 cm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Zmiotka z szufelką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Szufelka z gumowym wykończeniem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Opiekacz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Opiekacz z trzema wymiennymi płytkami: do kanapek, grillowania i </w:t>
            </w:r>
            <w:proofErr w:type="spellStart"/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gofrownicą</w:t>
            </w:r>
            <w:proofErr w:type="spellEnd"/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. Wszystkie płytki pokryte zapobiegającą przywieraniu powłoką. </w:t>
            </w:r>
          </w:p>
          <w:p w:rsidR="007401E6" w:rsidRPr="00FC11C0" w:rsidRDefault="007401E6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Opiekacz wyposażony w kontrolki świetlne, funkcję zabezpieczającą przed przegrzaniem oraz gumowe nóżki zapobiegające ślizganiu się sprzętu.</w:t>
            </w:r>
          </w:p>
          <w:p w:rsidR="007401E6" w:rsidRPr="00FC11C0" w:rsidRDefault="007401E6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Specyfikacja:</w:t>
            </w:r>
          </w:p>
          <w:p w:rsidR="007401E6" w:rsidRPr="00FC11C0" w:rsidRDefault="007401E6" w:rsidP="007401E6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Moc: 750 W</w:t>
            </w:r>
          </w:p>
          <w:p w:rsidR="007401E6" w:rsidRPr="00FC11C0" w:rsidRDefault="007401E6" w:rsidP="007401E6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Dł. przewodu zasilającego: min. 0,9 m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Pojemność: 2 kanapki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Pojemniki wykonane z tworzywa sztucznego o wymiarach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19,1 x 14,3 x 10,6 cm.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Pojemnik z pokrywą.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28,5 x 19,5 x 12,9 cm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28,8 x 19,7 x 16,2 cm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38 x 27,8 x 18,5 cm</w:t>
            </w: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szt.</w:t>
            </w:r>
          </w:p>
        </w:tc>
      </w:tr>
      <w:tr w:rsidR="007401E6" w:rsidRPr="00FC11C0" w:rsidTr="00243317">
        <w:tc>
          <w:tcPr>
            <w:tcW w:w="468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21.</w:t>
            </w:r>
          </w:p>
        </w:tc>
        <w:tc>
          <w:tcPr>
            <w:tcW w:w="189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Apteczka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C11C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564" w:type="dxa"/>
          </w:tcPr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Apteczka pierwszej pomocy wykonana z blachy stalowej, konstrukcja zgrzewana zamykana na zamek kluczowy. 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Przeznaczona do zawieszenia na ścianie.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Liczba półek: 2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Wyposażenie dodatkowe minimalne: zestaw plastrów, bandaży elastycznych, chust opatrunkowych, bandaży z kompresem, koc termiczny, nożyczki, instrukcja udzielania pierwszej pomocy.</w:t>
            </w:r>
          </w:p>
          <w:p w:rsidR="007401E6" w:rsidRPr="00FC11C0" w:rsidRDefault="007401E6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01E6" w:rsidRPr="00FC11C0" w:rsidRDefault="007401E6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</w:tbl>
    <w:p w:rsidR="007401E6" w:rsidRDefault="007401E6" w:rsidP="007401E6"/>
    <w:p w:rsidR="007401E6" w:rsidRPr="00947A5E" w:rsidRDefault="007401E6" w:rsidP="007401E6">
      <w:pPr>
        <w:widowControl/>
        <w:autoSpaceDN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</w:p>
    <w:p w:rsidR="007401E6" w:rsidRPr="00947A5E" w:rsidRDefault="007401E6" w:rsidP="007401E6">
      <w:pPr>
        <w:widowControl/>
        <w:numPr>
          <w:ilvl w:val="0"/>
          <w:numId w:val="2"/>
        </w:numPr>
        <w:autoSpaceDN/>
        <w:ind w:left="284" w:hanging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Wykonawca zapewni Zamawiającemu kompleksową obsługę, przy zachowaniu najwyższej staranności, z zachowaniem przepisów prawa i obowiązujących norm technicznych oraz fachowości we wszystkich czynnościach związanych z doradztwem, dostawą, instalacją i serwisem.</w:t>
      </w:r>
    </w:p>
    <w:p w:rsidR="007401E6" w:rsidRPr="00947A5E" w:rsidRDefault="007401E6" w:rsidP="007401E6">
      <w:pPr>
        <w:widowControl/>
        <w:numPr>
          <w:ilvl w:val="0"/>
          <w:numId w:val="2"/>
        </w:numPr>
        <w:autoSpaceDN/>
        <w:ind w:left="284" w:hanging="284"/>
        <w:jc w:val="both"/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</w:pPr>
      <w:r w:rsidRPr="00947A5E">
        <w:rPr>
          <w:rFonts w:asciiTheme="majorHAnsi" w:eastAsia="Calibri" w:hAnsiTheme="majorHAnsi" w:cs="Times New Roman"/>
          <w:color w:val="000000"/>
          <w:kern w:val="0"/>
          <w:sz w:val="20"/>
          <w:szCs w:val="20"/>
          <w:lang w:eastAsia="en-US" w:bidi="ar-SA"/>
        </w:rPr>
        <w:t>Dostarczony przedmiot umowy musi być fabrycznie nowy, nieużywany, sprawny i nie może być przedmiotem praw ani zobowiązań osób trzecich, musi pochodzić z oficjalnych kanałów dystrybucji.</w:t>
      </w:r>
    </w:p>
    <w:p w:rsidR="007401E6" w:rsidRPr="00947A5E" w:rsidRDefault="007401E6" w:rsidP="007401E6">
      <w:pPr>
        <w:widowControl/>
        <w:autoSpaceDN/>
        <w:ind w:left="720"/>
        <w:contextualSpacing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sym w:font="Times New Roman" w:char="00A7"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 2  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Termin wykonania umowy</w:t>
      </w:r>
    </w:p>
    <w:p w:rsidR="007401E6" w:rsidRPr="00EF0686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i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numPr>
          <w:ilvl w:val="0"/>
          <w:numId w:val="9"/>
        </w:numPr>
        <w:tabs>
          <w:tab w:val="left" w:pos="284"/>
        </w:tabs>
        <w:autoSpaceDN/>
        <w:ind w:left="284" w:hanging="284"/>
        <w:jc w:val="both"/>
        <w:rPr>
          <w:rFonts w:asciiTheme="majorHAnsi" w:eastAsia="Times New Roman" w:hAnsiTheme="majorHAnsi" w:cs="Times New Roman"/>
          <w:bCs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Cs/>
          <w:kern w:val="0"/>
          <w:sz w:val="20"/>
          <w:szCs w:val="20"/>
          <w:lang w:eastAsia="ar-SA" w:bidi="ar-SA"/>
        </w:rPr>
        <w:t xml:space="preserve">Wykonawca zrealizuje dostawę przedmiotu Umowy </w:t>
      </w:r>
      <w:r w:rsidRPr="00947A5E">
        <w:rPr>
          <w:rFonts w:asciiTheme="majorHAnsi" w:hAnsiTheme="majorHAnsi" w:cs="Times New Roman"/>
          <w:bCs/>
          <w:sz w:val="20"/>
          <w:szCs w:val="20"/>
        </w:rPr>
        <w:t xml:space="preserve">w ciągu </w:t>
      </w:r>
      <w:r>
        <w:rPr>
          <w:rFonts w:asciiTheme="majorHAnsi" w:hAnsiTheme="majorHAnsi" w:cs="Times New Roman"/>
          <w:bCs/>
          <w:sz w:val="20"/>
          <w:szCs w:val="20"/>
        </w:rPr>
        <w:t xml:space="preserve">12 </w:t>
      </w:r>
      <w:r w:rsidRPr="00EF0686">
        <w:rPr>
          <w:rFonts w:asciiTheme="majorHAnsi" w:hAnsiTheme="majorHAnsi" w:cs="Times New Roman"/>
          <w:bCs/>
          <w:sz w:val="20"/>
          <w:szCs w:val="20"/>
        </w:rPr>
        <w:t>tygodni</w:t>
      </w:r>
      <w:r w:rsidRPr="00947A5E">
        <w:rPr>
          <w:rFonts w:asciiTheme="majorHAnsi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hAnsiTheme="majorHAnsi" w:cs="Times New Roman"/>
          <w:bCs/>
          <w:sz w:val="20"/>
          <w:szCs w:val="20"/>
        </w:rPr>
        <w:t xml:space="preserve">od dnia </w:t>
      </w:r>
      <w:r w:rsidRPr="00947A5E">
        <w:rPr>
          <w:rFonts w:asciiTheme="majorHAnsi" w:hAnsiTheme="majorHAnsi" w:cs="Times New Roman"/>
          <w:bCs/>
          <w:sz w:val="20"/>
          <w:szCs w:val="20"/>
        </w:rPr>
        <w:t>podpisania umowy</w:t>
      </w:r>
      <w:r w:rsidRPr="00947A5E">
        <w:rPr>
          <w:rFonts w:asciiTheme="majorHAnsi" w:eastAsia="Times New Roman" w:hAnsiTheme="majorHAnsi" w:cs="Times New Roman"/>
          <w:bCs/>
          <w:kern w:val="0"/>
          <w:sz w:val="20"/>
          <w:szCs w:val="20"/>
          <w:lang w:eastAsia="ar-SA" w:bidi="ar-SA"/>
        </w:rPr>
        <w:t xml:space="preserve">. 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numPr>
          <w:ilvl w:val="0"/>
          <w:numId w:val="9"/>
        </w:numPr>
        <w:tabs>
          <w:tab w:val="left" w:pos="284"/>
        </w:tabs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Wykonawca zgłosi Zamawiającemu gotowość do realizacji dostawy w drodze wiadomości e-mail przesłanej co najmniej z 1 dniowym wyprzedzeniem. Strony uzgodnią wówczas konkretny dzień dostawy.</w:t>
      </w:r>
    </w:p>
    <w:p w:rsidR="007401E6" w:rsidRPr="00947A5E" w:rsidRDefault="007401E6" w:rsidP="007401E6">
      <w:pPr>
        <w:widowControl/>
        <w:numPr>
          <w:ilvl w:val="0"/>
          <w:numId w:val="9"/>
        </w:numPr>
        <w:tabs>
          <w:tab w:val="left" w:pos="284"/>
        </w:tabs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Ze względu na tryb pracy Zamawiającego dostawa, w tym instalacja sprzętu może odbywać się jedynie w god</w:t>
      </w:r>
      <w:r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zinach pracy Zamawiającego tj. 8</w:t>
      </w: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:00-15:00.</w:t>
      </w:r>
    </w:p>
    <w:p w:rsidR="007401E6" w:rsidRPr="00947A5E" w:rsidRDefault="007401E6" w:rsidP="007401E6">
      <w:pPr>
        <w:widowControl/>
        <w:autoSpaceDN/>
        <w:ind w:left="720"/>
        <w:contextualSpacing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 3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Sposób realizacji umowy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Wykonawca dostarczy, 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zainstaluje 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 lub zamontuje 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wyposażenie w siedzibie Szkoły Podstawowej im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. Orła Białego w Kurowicach filia w  Woli Rakowej, ul. Szkolna 3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 we wskazanych przez Zamawiającego miejscach.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Wraz z dostawą wyposażenia Wykonawca przekaże Zamawiającemu przed podpisaniem protokołu wszelkie dokumenty gwarancyjne, opisy techniczne, instrukcje obsługi /wytyczne dotyczące obsługi w języku polskim, a także udzieli wszelkich niezbędnych licencji na korzystanie z oprogramowania, zgodnie z jego przeznaczeniem.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Potwierdzeniem odbioru przedmiotu umowy przez Zamawiającego będzie podpisany Protokół odbioru bez zastrzeżeń bezpośrednio po dokonaniu dostawy i w przypadku sprzętu, którego dotyczy - instalacji we wskazanych miejscach.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Dostawa nastąpi na koszt i ryzyko Wykonawcy.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Przejście na Zamawiającego ryzyka związanego z wyposażeniem następuje z chwilą podpisania przez  strony protokołu odbioru, o którym mowa w ust. 3 powyżej.</w:t>
      </w:r>
    </w:p>
    <w:p w:rsidR="007401E6" w:rsidRPr="00947A5E" w:rsidRDefault="007401E6" w:rsidP="007401E6">
      <w:pPr>
        <w:widowControl/>
        <w:numPr>
          <w:ilvl w:val="0"/>
          <w:numId w:val="3"/>
        </w:numPr>
        <w:autoSpaceDN/>
        <w:ind w:left="284" w:hanging="284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Jeżeli w trakcie odbioru stwierdzona zostanie wada przedmiotu Umowy, Zamawiający może odmówić odbioru, a Wykonawca zobowiązany będzie – w zależności od wyboru Zamawiającego – do wymiany wadliwego przedmiotu Umowy na wolny od wad bądź usunięcia wady w drodze naprawy, w terminie uzgodnionym przez Strony, nie dłuższym jednak niż 7 dni od dnia zgłoszenia wad. W przypadku stwierdzenia braków ilościowych Wykonawca zobowiązany jest do ich uzupełnienia w terminie uzgodnionym przez strony, nie dłuższym niż 7 dni. Strony sporządzą odpowiednie adnotacje w protokole. Przez wadę rozumie się w szczególności jakąkolwiek niezgodność z opisem przedmiotu zamówienia.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 4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Wynagrodzenie i warunki płatności</w:t>
      </w:r>
    </w:p>
    <w:p w:rsidR="007401E6" w:rsidRPr="00947A5E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Zamawiający zapłaci Wykonawcy za wykonanie przedmiotu Umowy:</w:t>
      </w:r>
    </w:p>
    <w:p w:rsidR="007401E6" w:rsidRPr="00947A5E" w:rsidRDefault="007401E6" w:rsidP="007401E6">
      <w:pPr>
        <w:widowControl/>
        <w:autoSpaceDN/>
        <w:ind w:left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cenę   ....................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............  netto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 (słownie: …………………… 00/100), w tym wartość podatku od towarów i usług VAT wynosi …………………….. zł 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(słownie: …………………………….. 00/100), cena …………………………………………… brutto (słownie …………………………………………………………..00/100)</w:t>
      </w:r>
    </w:p>
    <w:p w:rsidR="007401E6" w:rsidRPr="00947A5E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Wynagrodzenie opisane w ust. 1 powyżej stanowi całkowite i maksymalne wynagrodzenie należne Wykonawcy za realizację usług objętych przedmiotem niniejszej Umowy i wyczerpuje całkowicie w tym zakresie zobowiązania Zamawiającego względem Wykonawcy z tytułu świadczenia usług objętych niniejszą Umową.</w:t>
      </w:r>
    </w:p>
    <w:p w:rsidR="007401E6" w:rsidRPr="00947A5E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 terminie 14 dni od dnia podpisania protokołu odbioru bez zastrzeżeń, Wykonawca wystawi Zamawiającemu fakturę VAT na:</w:t>
      </w:r>
    </w:p>
    <w:p w:rsidR="007401E6" w:rsidRPr="00947A5E" w:rsidRDefault="007401E6" w:rsidP="007401E6">
      <w:pPr>
        <w:widowControl/>
        <w:autoSpaceDN/>
        <w:ind w:left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NABYWCA: </w:t>
      </w:r>
      <w:r w:rsidRPr="00947A5E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  <w:t>Gmina Brójce, Brójce 39 95-006 Brójce NIP: 728 27 00 283</w:t>
      </w:r>
    </w:p>
    <w:p w:rsidR="007401E6" w:rsidRDefault="007401E6" w:rsidP="007401E6">
      <w:pPr>
        <w:widowControl/>
        <w:autoSpaceDN/>
        <w:ind w:left="284"/>
        <w:jc w:val="both"/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ODBIORCA: </w:t>
      </w:r>
      <w:r w:rsidRPr="00947A5E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  <w:t>Szkoła Podstawowa im. Orła Białego w Kurowicach, ul. Szkolna 1</w:t>
      </w:r>
      <w:r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  <w:t>,</w:t>
      </w:r>
      <w:r w:rsidRPr="00947A5E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ar-SA" w:bidi="ar-SA"/>
        </w:rPr>
        <w:t xml:space="preserve"> 95-006 Brójce</w:t>
      </w:r>
    </w:p>
    <w:p w:rsidR="007401E6" w:rsidRPr="00F262FB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Zapłata wynagrodzenia zostanie dokonana przelewem na rachunek bankowy Wykonawcy wskazany na faktu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rze </w:t>
      </w:r>
      <w:r w:rsidRPr="00EF0686">
        <w:rPr>
          <w:rFonts w:asciiTheme="majorHAnsi" w:hAnsiTheme="majorHAnsi" w:cs="Times New Roman"/>
          <w:color w:val="000000"/>
          <w:sz w:val="20"/>
          <w:szCs w:val="20"/>
        </w:rPr>
        <w:t>w terminie 14 dni od dnia dostarczenia poprawnie wystawionej faktury.</w:t>
      </w:r>
    </w:p>
    <w:p w:rsidR="007401E6" w:rsidRPr="00947A5E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 dzień zapłaty uważa się datę obciążenia rachunku bankowego Zamawiającego</w:t>
      </w: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  <w:t>.</w:t>
      </w:r>
    </w:p>
    <w:p w:rsidR="007401E6" w:rsidRPr="000A173D" w:rsidRDefault="007401E6" w:rsidP="007401E6">
      <w:pPr>
        <w:widowControl/>
        <w:numPr>
          <w:ilvl w:val="0"/>
          <w:numId w:val="7"/>
        </w:numPr>
        <w:autoSpaceDN/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 xml:space="preserve">Zamawiający może potrącić należności wynikające z faktury VAT za realizację przedmiotu Umowy o należności z tytułu ewentualnych kar umownych. 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 5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Warunki gwarancji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Na dostarczony sprzęt Wykonawca udzieli gwarancji wynoszącej 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w: Część I-WR………m-</w:t>
      </w:r>
      <w:proofErr w:type="spellStart"/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cy</w:t>
      </w:r>
      <w:proofErr w:type="spellEnd"/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/</w:t>
      </w:r>
      <w:r w:rsidRPr="00D7440A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Część II-WR ………m-</w:t>
      </w:r>
      <w:proofErr w:type="spellStart"/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cy</w:t>
      </w:r>
      <w:proofErr w:type="spellEnd"/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/</w:t>
      </w:r>
      <w:r w:rsidRPr="00D7440A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od dnia podpisania protokołu odbioru bez zastrzeżeń oraz zapewni w okresie gwarancji bezpłatny serwis gwarancyjny.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Style w:val="Pogrubienie"/>
          <w:rFonts w:asciiTheme="majorHAnsi" w:eastAsia="Times New Roman" w:hAnsiTheme="majorHAnsi" w:cs="Times New Roman"/>
          <w:b w:val="0"/>
          <w:bCs w:val="0"/>
          <w:color w:val="000000"/>
          <w:kern w:val="0"/>
          <w:sz w:val="20"/>
          <w:szCs w:val="20"/>
          <w:lang w:eastAsia="pl-PL" w:bidi="ar-SA"/>
        </w:rPr>
      </w:pPr>
      <w:r w:rsidRPr="00947A5E">
        <w:rPr>
          <w:rStyle w:val="Pogrubienie"/>
          <w:rFonts w:asciiTheme="majorHAnsi" w:hAnsiTheme="majorHAnsi" w:cs="Times New Roman"/>
          <w:color w:val="000000"/>
          <w:sz w:val="20"/>
          <w:szCs w:val="20"/>
        </w:rPr>
        <w:t xml:space="preserve">Serwis urządzeń musi być realizowany przez producenta sprzętu lub autoryzowanego partnera. 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Serwis gwarancyjny ma być świadczony w miejscu użytkowania sprzętu z możliwością naprawy w serwisie Wykonawcy, jeżeli naprawa u użytkownika okaże się niemożliwa. 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Naprawa lub wymiana urządzeń bądź też ich części, na nowe i oryginalne, będzie zgodna z metodyką i zaleceniami producenta. 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W przypadku ujawnienia wad sprzętu w okresie gwarancji i rękojmi Zamawiający dokona zgłoszenia gwarancyjnego w drodze telefonicznej lub mailowo, od poniedziałku do piątku w godz. ……………………….</w:t>
      </w:r>
    </w:p>
    <w:p w:rsidR="007401E6" w:rsidRPr="00947A5E" w:rsidRDefault="007401E6" w:rsidP="007401E6">
      <w:pPr>
        <w:widowControl/>
        <w:autoSpaceDN/>
        <w:ind w:left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Dane kontaktowe do zgłoszenia: tel. …………………e-mail: …………….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Wykonawca oświadcza, że przystąpi do usunięcia zgłoszonych wad w terminie </w:t>
      </w:r>
      <w:r w:rsidRPr="00EA5C7A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7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EA5C7A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dni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od momentu otrzymania od  Zamawiającego zgłoszenia (czas reakcji serwisowej). 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lastRenderedPageBreak/>
        <w:t xml:space="preserve">Czas naprawy lub wymiany nie może być dłuższy niż </w:t>
      </w:r>
      <w:r w:rsidRPr="00EF0686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7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EF0686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dni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od momentu przystąpienia do usuwania zgłoszonych wad.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W</w:t>
      </w: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pl-PL" w:bidi="ar-SA"/>
        </w:rPr>
        <w:t xml:space="preserve"> przypadku niemożliwości dotrzymania terminu naprawy, o którym mowa w ust. 6 powyżej, Wykonawca zobowiązany jest zapewnić, celem dokonania dłuższej naprawy i na czas tej naprawy, sprzęt zastępczy o parametrach nie gorszych niż sprzęt, który uległ awarii.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Również w przypadku, gdy usunięcie awarii lub uszkodzenia będzie usuwane poza siedzibą Zamawiającego, Wykonawca zobowiązuje się dostarczyć, zainstalować i uruchomić w tym czasie sprzęt zastępczy o równoważnych cechach użytkowych.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pl-PL" w:bidi="ar-SA"/>
        </w:rPr>
        <w:t xml:space="preserve">Okres gwarancji sprzętu ulega przedłużeniu o czas jego niesprawności, tj. realizacji usunięcia usterki, awarii 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(naprawy lub wymiany wadliwego podzespołu, lub urządzenia).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Odpowiedzialność z tytułu gwarancji jakości obejmuje wady powstałe w urządzeniach, pod warunkiem, że wady te ujawnią się w okresie gwarancji.</w:t>
      </w:r>
    </w:p>
    <w:p w:rsidR="007401E6" w:rsidRPr="00947A5E" w:rsidRDefault="007401E6" w:rsidP="007401E6">
      <w:pPr>
        <w:widowControl/>
        <w:numPr>
          <w:ilvl w:val="0"/>
          <w:numId w:val="4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W przypadku nie wywiązania się Wykonawcy w określonych terminach z naprawy gwarancyjnej lub dostarczenia sprzętu zastępczego Zamawiający jest uprawniony wykonać ww. usługę na własny koszt i obciążyć pełnymi jej kosztami Wykonawcę.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§6</w:t>
      </w: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Kary umowne i możliwość odstąpienia</w:t>
      </w:r>
    </w:p>
    <w:p w:rsidR="007401E6" w:rsidRPr="00947A5E" w:rsidRDefault="007401E6" w:rsidP="007401E6">
      <w:pPr>
        <w:widowControl/>
        <w:numPr>
          <w:ilvl w:val="0"/>
          <w:numId w:val="5"/>
        </w:numPr>
        <w:autoSpaceDN/>
        <w:ind w:left="284" w:hanging="28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Zamawiający może naliczyć następujące kary umowne:</w:t>
      </w:r>
    </w:p>
    <w:p w:rsidR="007401E6" w:rsidRPr="00947A5E" w:rsidRDefault="007401E6" w:rsidP="007401E6">
      <w:pPr>
        <w:widowControl/>
        <w:numPr>
          <w:ilvl w:val="0"/>
          <w:numId w:val="6"/>
        </w:numPr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 opóźnienie w dostawie przedmiotu umowy w wysokości 100,00 zł za każdy rozpoczęty dzień opóźnienia licząc od następnego dnia po terminie, w którym miała być dokonana dostawa, maksymalnie 50% wartości zamówienia.</w:t>
      </w:r>
    </w:p>
    <w:p w:rsidR="007401E6" w:rsidRPr="00947A5E" w:rsidRDefault="007401E6" w:rsidP="007401E6">
      <w:pPr>
        <w:widowControl/>
        <w:numPr>
          <w:ilvl w:val="0"/>
          <w:numId w:val="6"/>
        </w:numPr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 opóźnienie w usunięciu wad, o których mowa w §3 ust. 6 Umowy w wysokości 100,00 zł za każdy rozpoczęty dzień opóźnienia licząc od następnego dnia po terminie, w którym miała być dokonana naprawa/wymiana, maksymalnie 50% wartości zamówienia.</w:t>
      </w:r>
    </w:p>
    <w:p w:rsidR="007401E6" w:rsidRPr="00947A5E" w:rsidRDefault="007401E6" w:rsidP="007401E6">
      <w:pPr>
        <w:widowControl/>
        <w:numPr>
          <w:ilvl w:val="0"/>
          <w:numId w:val="6"/>
        </w:numPr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 opóźnienie w wykonaniu zobowiązań gwarancyjnych w stosunku do terminów, o których mowa §5 ust. 6 Umowy w wysokości 100.00 zł za każdy rozpoczęty dzień opóźnienia licząc od następnego dnia po terminie, w którym miała być dokonana naprawa/wymiana, maksymalnie 50% wartości zamówienia.</w:t>
      </w:r>
    </w:p>
    <w:p w:rsidR="007401E6" w:rsidRPr="00947A5E" w:rsidRDefault="007401E6" w:rsidP="007401E6">
      <w:pPr>
        <w:widowControl/>
        <w:numPr>
          <w:ilvl w:val="0"/>
          <w:numId w:val="6"/>
        </w:numPr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 tytułu odstąpienia od umowy z przyczyn leżących po stronie Wykonawcy w wysokości 1 000 zł.</w:t>
      </w:r>
    </w:p>
    <w:p w:rsidR="007401E6" w:rsidRPr="00947A5E" w:rsidRDefault="007401E6" w:rsidP="007401E6">
      <w:pPr>
        <w:widowControl/>
        <w:numPr>
          <w:ilvl w:val="0"/>
          <w:numId w:val="5"/>
        </w:numPr>
        <w:autoSpaceDN/>
        <w:ind w:left="426" w:hanging="426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Zastrzeżenie kary umownej nie wyłącza możliwości dochodzenia odszkodowania uzupełniającego, przekraczającego wysokość kar umownych do wysokości rzeczywiście poniesionej szkody.</w:t>
      </w:r>
    </w:p>
    <w:p w:rsidR="007401E6" w:rsidRPr="00947A5E" w:rsidRDefault="007401E6" w:rsidP="007401E6">
      <w:pPr>
        <w:widowControl/>
        <w:numPr>
          <w:ilvl w:val="0"/>
          <w:numId w:val="5"/>
        </w:numPr>
        <w:autoSpaceDN/>
        <w:ind w:left="426" w:hanging="426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Wykonawca może żądać zapłaty odsetek ustawowych, z tytułu zwłoki w zapłacie za fakturę.</w:t>
      </w:r>
    </w:p>
    <w:p w:rsidR="007401E6" w:rsidRPr="00947A5E" w:rsidRDefault="007401E6" w:rsidP="007401E6">
      <w:pPr>
        <w:widowControl/>
        <w:numPr>
          <w:ilvl w:val="0"/>
          <w:numId w:val="5"/>
        </w:numPr>
        <w:autoSpaceDN/>
        <w:ind w:left="426" w:hanging="426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Zamawiający zastrzega sobie prawo odstąpienia od całości lub części niezrealizowanej umowy, w przypadku nienależytego wykonania umowy ze skutkiem natychmiastowym w terminie 30 dni od powzięcia wiadomości o tych okolicznościach, w szczególności następujących przypadkach: </w:t>
      </w:r>
    </w:p>
    <w:p w:rsidR="007401E6" w:rsidRPr="00947A5E" w:rsidRDefault="007401E6" w:rsidP="007401E6">
      <w:pPr>
        <w:widowControl/>
        <w:numPr>
          <w:ilvl w:val="1"/>
          <w:numId w:val="5"/>
        </w:numPr>
        <w:tabs>
          <w:tab w:val="num" w:pos="709"/>
        </w:tabs>
        <w:autoSpaceDN/>
        <w:ind w:hanging="101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niezrealizowania dostawy w terminie wskazanym w §2, </w:t>
      </w:r>
    </w:p>
    <w:p w:rsidR="007401E6" w:rsidRPr="00947A5E" w:rsidRDefault="007401E6" w:rsidP="007401E6">
      <w:pPr>
        <w:widowControl/>
        <w:numPr>
          <w:ilvl w:val="1"/>
          <w:numId w:val="5"/>
        </w:numPr>
        <w:tabs>
          <w:tab w:val="num" w:pos="709"/>
        </w:tabs>
        <w:autoSpaceDN/>
        <w:ind w:hanging="101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ujawnienia sprzętu niebędącego fabrycznie nowym, </w:t>
      </w:r>
    </w:p>
    <w:p w:rsidR="007401E6" w:rsidRPr="00947A5E" w:rsidRDefault="007401E6" w:rsidP="007401E6">
      <w:pPr>
        <w:widowControl/>
        <w:numPr>
          <w:ilvl w:val="1"/>
          <w:numId w:val="5"/>
        </w:numPr>
        <w:tabs>
          <w:tab w:val="num" w:pos="709"/>
        </w:tabs>
        <w:autoSpaceDN/>
        <w:ind w:hanging="1014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ujawnienia w dostarczonym sprzęcie lub oprogramowaniu wad fizycznych lub prawnych.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center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>§7</w:t>
      </w:r>
    </w:p>
    <w:p w:rsidR="007401E6" w:rsidRPr="00947A5E" w:rsidRDefault="007401E6" w:rsidP="007401E6">
      <w:pPr>
        <w:widowControl/>
        <w:autoSpaceDN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  <w:t>Postanowienia końcowe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Strony poinformują się wzajemnie o zmianie adresu lub siedziby. W przeciwnym razie pisma dostarczone pod adres wskazany w niniejszej umowie uważane będą za doręczone. 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Strony uzgadniają, że osobami uprawnionymi do uzgodnień i koordynacji związanych z wykonaniem niniejszej Umowy są:</w:t>
      </w:r>
    </w:p>
    <w:p w:rsidR="007401E6" w:rsidRPr="00947A5E" w:rsidRDefault="007401E6" w:rsidP="007401E6">
      <w:pPr>
        <w:widowControl/>
        <w:numPr>
          <w:ilvl w:val="0"/>
          <w:numId w:val="10"/>
        </w:numPr>
        <w:autoSpaceDN/>
        <w:ind w:left="720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ze strony Zamawiającego: Renata Frączkowska, tel.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42 214 00 84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, e-mail: </w:t>
      </w:r>
      <w:hyperlink r:id="rId5" w:history="1">
        <w:r w:rsidRPr="00947A5E">
          <w:rPr>
            <w:rStyle w:val="Hipercze"/>
            <w:rFonts w:asciiTheme="majorHAnsi" w:eastAsia="Times New Roman" w:hAnsiTheme="majorHAnsi" w:cs="Times New Roman"/>
            <w:kern w:val="0"/>
            <w:sz w:val="20"/>
            <w:szCs w:val="20"/>
            <w:lang w:eastAsia="pl-PL" w:bidi="ar-SA"/>
          </w:rPr>
          <w:t>sekretariat@kurowice.edu.pl</w:t>
        </w:r>
      </w:hyperlink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</w:p>
    <w:p w:rsidR="007401E6" w:rsidRPr="00947A5E" w:rsidRDefault="007401E6" w:rsidP="007401E6">
      <w:pPr>
        <w:widowControl/>
        <w:numPr>
          <w:ilvl w:val="0"/>
          <w:numId w:val="10"/>
        </w:numPr>
        <w:autoSpaceDN/>
        <w:ind w:left="72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ze strony Wykonawcy: …………………………… tel. ……., e-mail: ……</w:t>
      </w:r>
      <w:r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……………………………............</w:t>
      </w: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>…</w:t>
      </w:r>
    </w:p>
    <w:p w:rsidR="007401E6" w:rsidRPr="00947A5E" w:rsidRDefault="007401E6" w:rsidP="007401E6">
      <w:pPr>
        <w:widowControl/>
        <w:autoSpaceDN/>
        <w:ind w:left="348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pl-PL" w:bidi="ar-SA"/>
        </w:rPr>
        <w:t xml:space="preserve">Zmiany osób wskazanych, danych kontaktowych, telefonów, Strony mogą dokonywać na podstawie pisemnego powiadomienia z 7dniowym wyprzedzeniem. 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Wszelkie zmiany lub uzupełnienia umowy wymagają formy pisemnej pod rygorem nieważności.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Załączniki stanowią integralną część umowy.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 sprawach nie uregulowanych umową mają zastosowanie przepisy Kodeksu Cywilnego.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Wszelkie spory wynikające z niniejszej umowy rozpatrywać będzie właściwy rzeczowo sąd cywilny dla siedziby Zamawiającego.</w:t>
      </w:r>
    </w:p>
    <w:p w:rsidR="007401E6" w:rsidRPr="00947A5E" w:rsidRDefault="007401E6" w:rsidP="007401E6">
      <w:pPr>
        <w:widowControl/>
        <w:numPr>
          <w:ilvl w:val="0"/>
          <w:numId w:val="8"/>
        </w:numPr>
        <w:autoSpaceDN/>
        <w:ind w:left="360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ar-SA" w:bidi="ar-SA"/>
        </w:rPr>
        <w:t>Umowa zostaje sporządzona w dwóch jednobrzmiących egzemplarzach, po jednym dla każdej ze stron.</w:t>
      </w:r>
    </w:p>
    <w:p w:rsidR="007401E6" w:rsidRPr="00947A5E" w:rsidRDefault="007401E6" w:rsidP="007401E6">
      <w:pPr>
        <w:widowControl/>
        <w:autoSpaceDN/>
        <w:ind w:left="720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</w:pPr>
    </w:p>
    <w:p w:rsidR="007401E6" w:rsidRPr="00947A5E" w:rsidRDefault="007401E6" w:rsidP="007401E6">
      <w:pPr>
        <w:widowControl/>
        <w:autoSpaceDN/>
        <w:jc w:val="both"/>
        <w:rPr>
          <w:rStyle w:val="Pogrubienie"/>
          <w:rFonts w:asciiTheme="majorHAnsi" w:eastAsia="Times New Roman" w:hAnsiTheme="majorHAnsi" w:cs="Times New Roman"/>
          <w:bCs w:val="0"/>
          <w:color w:val="000000"/>
          <w:kern w:val="0"/>
          <w:sz w:val="20"/>
          <w:szCs w:val="20"/>
          <w:lang w:eastAsia="ar-SA" w:bidi="ar-SA"/>
        </w:rPr>
      </w:pP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 xml:space="preserve"> ZAMAWIAJĄCY</w:t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</w:r>
      <w:r w:rsidRPr="00947A5E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ar-SA" w:bidi="ar-SA"/>
        </w:rPr>
        <w:tab/>
        <w:t>WYKONAWCA</w:t>
      </w:r>
    </w:p>
    <w:p w:rsidR="00081D7E" w:rsidRDefault="00081D7E">
      <w:bookmarkStart w:id="0" w:name="_GoBack"/>
      <w:bookmarkEnd w:id="0"/>
    </w:p>
    <w:sectPr w:rsidR="0008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0203"/>
    <w:multiLevelType w:val="hybridMultilevel"/>
    <w:tmpl w:val="59963CC2"/>
    <w:lvl w:ilvl="0" w:tplc="38F2F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8AB"/>
    <w:multiLevelType w:val="hybridMultilevel"/>
    <w:tmpl w:val="4E4E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63B50"/>
    <w:multiLevelType w:val="hybridMultilevel"/>
    <w:tmpl w:val="89482C54"/>
    <w:lvl w:ilvl="0" w:tplc="35D6A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0A33"/>
    <w:multiLevelType w:val="hybridMultilevel"/>
    <w:tmpl w:val="A2007EA8"/>
    <w:lvl w:ilvl="0" w:tplc="94ECA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27302"/>
    <w:multiLevelType w:val="hybridMultilevel"/>
    <w:tmpl w:val="CEA07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7D76"/>
    <w:multiLevelType w:val="multilevel"/>
    <w:tmpl w:val="F24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30517"/>
    <w:multiLevelType w:val="hybridMultilevel"/>
    <w:tmpl w:val="11FAE75E"/>
    <w:lvl w:ilvl="0" w:tplc="5C56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A9693D"/>
    <w:multiLevelType w:val="hybridMultilevel"/>
    <w:tmpl w:val="17CE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84"/>
    <w:rsid w:val="00081D7E"/>
    <w:rsid w:val="002347EC"/>
    <w:rsid w:val="006A5142"/>
    <w:rsid w:val="007401E6"/>
    <w:rsid w:val="008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DFC6-DEF9-416F-844A-EC41830B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E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51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0"/>
    </w:rPr>
  </w:style>
  <w:style w:type="character" w:styleId="Hipercze">
    <w:name w:val="Hyperlink"/>
    <w:uiPriority w:val="99"/>
    <w:unhideWhenUsed/>
    <w:rsid w:val="007401E6"/>
    <w:rPr>
      <w:color w:val="0000FF"/>
      <w:u w:val="single"/>
    </w:rPr>
  </w:style>
  <w:style w:type="paragraph" w:customStyle="1" w:styleId="Standard">
    <w:name w:val="Standard"/>
    <w:rsid w:val="007401E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401E6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740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urowic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3133</Words>
  <Characters>18799</Characters>
  <Application>Microsoft Office Word</Application>
  <DocSecurity>0</DocSecurity>
  <Lines>156</Lines>
  <Paragraphs>43</Paragraphs>
  <ScaleCrop>false</ScaleCrop>
  <Company>Microsoft</Company>
  <LinksUpToDate>false</LinksUpToDate>
  <CharactersWithSpaces>21889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2022-03-09T11:45:00Z</dcterms:created>
  <dcterms:modified xsi:type="dcterms:W3CDTF">2022-03-09T11:45:00Z</dcterms:modified>
</cp:coreProperties>
</file>